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87E" w:rsidRDefault="001B76AA">
      <w:pPr>
        <w:spacing w:before="9"/>
        <w:ind w:right="-40" w:firstLine="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PROPOSTA COMERCIAL</w:t>
      </w:r>
    </w:p>
    <w:p w:rsidR="0067687E" w:rsidRDefault="001B76AA">
      <w:pPr>
        <w:spacing w:before="9"/>
        <w:ind w:right="-40" w:hanging="2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À AGÊNCIA BRASILEIRA DE APOIO À GESTÃO DO SUS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</w:p>
    <w:p w:rsidR="0067687E" w:rsidRPr="00603034" w:rsidRDefault="001B76AA" w:rsidP="0060303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COTAÇÃO DE PREÇO Nº </w:t>
      </w:r>
      <w:r w:rsidR="00603034">
        <w:rPr>
          <w:rFonts w:ascii="Calibri" w:eastAsia="Calibri" w:hAnsi="Calibri" w:cs="Calibri"/>
          <w:b/>
          <w:bCs/>
          <w:sz w:val="24"/>
          <w:szCs w:val="24"/>
        </w:rPr>
        <w:t>561</w:t>
      </w:r>
      <w:bookmarkStart w:id="0" w:name="_GoBack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>/2026</w:t>
      </w:r>
    </w:p>
    <w:p w:rsidR="0067687E" w:rsidRDefault="001B76AA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AGSUS.013288/2026-20</w:t>
      </w:r>
    </w:p>
    <w:p w:rsidR="0067687E" w:rsidRDefault="0067687E">
      <w:pPr>
        <w:spacing w:before="9"/>
        <w:ind w:left="-141" w:right="-657" w:firstLine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67687E" w:rsidRDefault="001B76AA">
      <w:pPr>
        <w:spacing w:before="9"/>
        <w:ind w:left="-2" w:right="229"/>
        <w:jc w:val="both"/>
        <w:rPr>
          <w:rFonts w:ascii="Calibri" w:eastAsia="Calibri" w:hAnsi="Calibri" w:cs="Calibri"/>
        </w:rPr>
      </w:pPr>
      <w:bookmarkStart w:id="1" w:name="_el2lxy766mgw" w:colFirst="0" w:colLast="0"/>
      <w:bookmarkEnd w:id="1"/>
      <w:r>
        <w:rPr>
          <w:rFonts w:ascii="Calibri" w:eastAsia="Calibri" w:hAnsi="Calibri" w:cs="Calibri"/>
          <w:b/>
          <w:bCs/>
          <w:sz w:val="24"/>
          <w:szCs w:val="24"/>
        </w:rPr>
        <w:t>OBJETO: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</w:rPr>
        <w:t>Fornecimento</w:t>
      </w:r>
      <w:proofErr w:type="spellEnd"/>
      <w:r>
        <w:rPr>
          <w:rFonts w:ascii="Calibri" w:eastAsia="Calibri" w:hAnsi="Calibri" w:cs="Calibri"/>
        </w:rPr>
        <w:t xml:space="preserve"> de bens e </w:t>
      </w:r>
      <w:proofErr w:type="spellStart"/>
      <w:r>
        <w:rPr>
          <w:rFonts w:ascii="Calibri" w:eastAsia="Calibri" w:hAnsi="Calibri" w:cs="Calibri"/>
        </w:rPr>
        <w:t>serviços</w:t>
      </w:r>
      <w:proofErr w:type="spellEnd"/>
      <w:r>
        <w:rPr>
          <w:rFonts w:ascii="Calibri" w:eastAsia="Calibri" w:hAnsi="Calibri" w:cs="Calibri"/>
        </w:rPr>
        <w:t xml:space="preserve"> para as </w:t>
      </w:r>
      <w:proofErr w:type="spellStart"/>
      <w:r>
        <w:rPr>
          <w:rFonts w:ascii="Calibri" w:eastAsia="Calibri" w:hAnsi="Calibri" w:cs="Calibri"/>
        </w:rPr>
        <w:t>capacitações</w:t>
      </w:r>
      <w:proofErr w:type="spellEnd"/>
      <w:r>
        <w:rPr>
          <w:rFonts w:ascii="Calibri" w:eastAsia="Calibri" w:hAnsi="Calibri" w:cs="Calibri"/>
        </w:rPr>
        <w:t xml:space="preserve"> do DSEI Altamira, </w:t>
      </w:r>
      <w:proofErr w:type="spellStart"/>
      <w:r>
        <w:rPr>
          <w:rFonts w:ascii="Calibri" w:eastAsia="Calibri" w:hAnsi="Calibri" w:cs="Calibri"/>
        </w:rPr>
        <w:t>referente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ao</w:t>
      </w:r>
      <w:proofErr w:type="spellEnd"/>
      <w:r>
        <w:rPr>
          <w:rFonts w:ascii="Calibri" w:eastAsia="Calibri" w:hAnsi="Calibri" w:cs="Calibri"/>
        </w:rPr>
        <w:t xml:space="preserve"> 2º </w:t>
      </w:r>
      <w:proofErr w:type="spellStart"/>
      <w:r>
        <w:rPr>
          <w:rFonts w:ascii="Calibri" w:eastAsia="Calibri" w:hAnsi="Calibri" w:cs="Calibri"/>
        </w:rPr>
        <w:t>quadrimestre</w:t>
      </w:r>
      <w:proofErr w:type="spellEnd"/>
      <w:r>
        <w:rPr>
          <w:rFonts w:ascii="Calibri" w:eastAsia="Calibri" w:hAnsi="Calibri" w:cs="Calibri"/>
        </w:rPr>
        <w:t xml:space="preserve"> de 2026.</w:t>
      </w:r>
    </w:p>
    <w:p w:rsidR="0067687E" w:rsidRDefault="0067687E">
      <w:pPr>
        <w:spacing w:before="9"/>
        <w:ind w:left="-2" w:right="229"/>
        <w:jc w:val="both"/>
        <w:rPr>
          <w:rFonts w:ascii="Calibri" w:eastAsia="Calibri" w:hAnsi="Calibri" w:cs="Calibri"/>
        </w:rPr>
      </w:pPr>
      <w:bookmarkStart w:id="2" w:name="_75lfj6xuxrzt" w:colFirst="0" w:colLast="0"/>
      <w:bookmarkEnd w:id="2"/>
    </w:p>
    <w:p w:rsidR="0067687E" w:rsidRDefault="001B76AA">
      <w:pPr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com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b/>
          <w:bCs/>
          <w:sz w:val="24"/>
          <w:szCs w:val="24"/>
        </w:rPr>
        <w:t>xxx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telefone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xx-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inscrita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CNPJ nº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xx.xxx.xxx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-xx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Corrente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Agência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Banco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E-mail: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xxxxxxxxxxxxxx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neste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abaixo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interessada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presente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PROPÕE à AGÊNCIA BRASILEIRA DE APOIO À GESTÃO DO SUS –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AgSUS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prestação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Cotação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preço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seguintes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condições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67687E" w:rsidRDefault="0067687E">
      <w:pPr>
        <w:widowControl/>
        <w:spacing w:line="276" w:lineRule="auto"/>
        <w:ind w:firstLine="0"/>
        <w:rPr>
          <w:rFonts w:ascii="Calibri" w:eastAsia="Calibri" w:hAnsi="Calibri" w:cs="Calibri"/>
          <w:sz w:val="24"/>
          <w:szCs w:val="24"/>
        </w:rPr>
      </w:pPr>
      <w:bookmarkStart w:id="3" w:name="_leymxl7h8b3x" w:colFirst="0" w:colLast="0"/>
      <w:bookmarkEnd w:id="3"/>
    </w:p>
    <w:p w:rsidR="0067687E" w:rsidRDefault="0067687E">
      <w:pPr>
        <w:widowControl/>
        <w:spacing w:line="276" w:lineRule="auto"/>
        <w:ind w:firstLine="0"/>
        <w:rPr>
          <w:rFonts w:ascii="Calibri" w:eastAsia="Calibri" w:hAnsi="Calibri" w:cs="Calibri"/>
          <w:sz w:val="24"/>
          <w:szCs w:val="24"/>
        </w:rPr>
      </w:pPr>
      <w:bookmarkStart w:id="4" w:name="_c56rq5kko2" w:colFirst="0" w:colLast="0"/>
      <w:bookmarkEnd w:id="4"/>
    </w:p>
    <w:tbl>
      <w:tblPr>
        <w:tblW w:w="10773" w:type="dxa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956"/>
        <w:gridCol w:w="838"/>
        <w:gridCol w:w="838"/>
        <w:gridCol w:w="838"/>
        <w:gridCol w:w="838"/>
        <w:gridCol w:w="838"/>
        <w:gridCol w:w="1016"/>
        <w:gridCol w:w="1011"/>
        <w:gridCol w:w="992"/>
      </w:tblGrid>
      <w:tr w:rsidR="001B76AA" w:rsidRPr="001B76AA" w:rsidTr="001B76AA">
        <w:trPr>
          <w:trHeight w:val="315"/>
        </w:trPr>
        <w:tc>
          <w:tcPr>
            <w:tcW w:w="1077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bookmarkStart w:id="5" w:name="_2vzbvp5jsh7z" w:colFirst="0" w:colLast="0"/>
            <w:bookmarkEnd w:id="5"/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MATERIAIS DE ESCRITÓRIO</w:t>
            </w: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ORD</w:t>
            </w:r>
          </w:p>
        </w:tc>
        <w:tc>
          <w:tcPr>
            <w:tcW w:w="204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DESCRIÇÃO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UNIDADE DE MEDIDA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EVENTO 01</w:t>
            </w: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br/>
              <w:t>20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EVENTO 02</w:t>
            </w: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EVENTO 03</w:t>
            </w: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EVENTO 04</w:t>
            </w: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br/>
              <w:t>28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EVENTO 05</w:t>
            </w: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101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TOTAL</w:t>
            </w:r>
          </w:p>
        </w:tc>
        <w:tc>
          <w:tcPr>
            <w:tcW w:w="20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BR"/>
              </w:rPr>
              <w:t>PROPOSTA</w:t>
            </w: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lang w:val="pt-BR"/>
              </w:rPr>
            </w:pPr>
          </w:p>
        </w:tc>
        <w:tc>
          <w:tcPr>
            <w:tcW w:w="204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lang w:val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QTD</w:t>
            </w:r>
          </w:p>
        </w:tc>
        <w:tc>
          <w:tcPr>
            <w:tcW w:w="101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Calibri" w:eastAsia="Times New Roman" w:hAnsi="Calibri" w:cs="Calibri"/>
                <w:b/>
                <w:bCs/>
                <w:lang w:val="pt-BR"/>
              </w:rPr>
            </w:pP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VALOR UNITÁRIO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pt-BR"/>
              </w:rPr>
            </w:pPr>
            <w:r w:rsidRPr="001B76AA">
              <w:rPr>
                <w:rFonts w:ascii="Calibri" w:eastAsia="Times New Roman" w:hAnsi="Calibri" w:cs="Calibri"/>
                <w:b/>
                <w:bCs/>
                <w:lang w:val="pt-BR"/>
              </w:rPr>
              <w:t>VALOR TOTAL</w:t>
            </w: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25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Apontador para lápis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  <w:t>Apontador para lápis confeccionado em plástico rígido ou metal, com lâmina em aço inoxidável, destinado ao apontamento de lápis comuns e similares.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50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26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Barbante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proofErr w:type="spellStart"/>
            <w:r w:rsidRPr="001B76AA">
              <w:rPr>
                <w:rFonts w:eastAsia="Times New Roman"/>
                <w:sz w:val="20"/>
                <w:szCs w:val="20"/>
                <w:lang w:val="pt-BR"/>
              </w:rPr>
              <w:t>Barbante</w:t>
            </w:r>
            <w:proofErr w:type="spellEnd"/>
            <w:r w:rsidRPr="001B76AA">
              <w:rPr>
                <w:rFonts w:eastAsia="Times New Roman"/>
                <w:sz w:val="20"/>
                <w:szCs w:val="20"/>
                <w:lang w:val="pt-BR"/>
              </w:rPr>
              <w:t xml:space="preserve"> cores variadas: vermelho, azul, preto, amarelo, nº 06, rolos com 500 m cada.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30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27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Borracha branca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  <w:t xml:space="preserve">Borracha padrão na cor branca, de tamanho médio e proteção plástica, indicada para apagar escrita a lápis em 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lastRenderedPageBreak/>
              <w:t>papel e superfícies compatíveis.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lastRenderedPageBreak/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30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lastRenderedPageBreak/>
              <w:t>28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Calculadora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proofErr w:type="spellStart"/>
            <w:r w:rsidRPr="001B76AA">
              <w:rPr>
                <w:rFonts w:eastAsia="Times New Roman"/>
                <w:sz w:val="20"/>
                <w:szCs w:val="20"/>
                <w:lang w:val="pt-BR"/>
              </w:rPr>
              <w:t>Calculadora</w:t>
            </w:r>
            <w:proofErr w:type="spellEnd"/>
            <w:r w:rsidRPr="001B76AA">
              <w:rPr>
                <w:rFonts w:eastAsia="Times New Roman"/>
                <w:sz w:val="20"/>
                <w:szCs w:val="20"/>
                <w:lang w:val="pt-BR"/>
              </w:rPr>
              <w:t xml:space="preserve"> eletrônica de mesa e bolso, com capacidade para 12 dígitos, visor amplo de fácil leitura, alimentação por bateria, teclas macias e resistentes, funções básicas (adição, subtração, multiplicação, divisão, porcentagem).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50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29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Caneta esferográfica azul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  <w:t>Caneta esferográfica com corpo em material plástico e tinta na cor azul, destinada à escrita em papel e superfícies compatíveis.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100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30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Cartolina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proofErr w:type="spellStart"/>
            <w:r w:rsidRPr="001B76AA">
              <w:rPr>
                <w:rFonts w:eastAsia="Times New Roman"/>
                <w:sz w:val="20"/>
                <w:szCs w:val="20"/>
                <w:lang w:val="pt-BR"/>
              </w:rPr>
              <w:t>Cartolina</w:t>
            </w:r>
            <w:proofErr w:type="spellEnd"/>
            <w:r w:rsidRPr="001B76AA">
              <w:rPr>
                <w:rFonts w:eastAsia="Times New Roman"/>
                <w:sz w:val="20"/>
                <w:szCs w:val="20"/>
                <w:lang w:val="pt-BR"/>
              </w:rPr>
              <w:t xml:space="preserve"> 140 g/m², com dimensões aproximadas de 50 × 66 cm, indicada para trabalhos escolares, cartazes e atividades pedagógicas, nas cores verde, azul, amarela, branca e rosa.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34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31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proofErr w:type="spellStart"/>
            <w:r w:rsidRPr="001B76AA">
              <w:rPr>
                <w:rFonts w:eastAsia="Times New Roman"/>
                <w:sz w:val="20"/>
                <w:szCs w:val="20"/>
                <w:lang w:val="pt-BR"/>
              </w:rPr>
              <w:t>Flip</w:t>
            </w:r>
            <w:proofErr w:type="spellEnd"/>
            <w:r w:rsidRPr="001B76AA">
              <w:rPr>
                <w:rFonts w:eastAsia="Times New Roman"/>
                <w:sz w:val="20"/>
                <w:szCs w:val="20"/>
                <w:lang w:val="pt-BR"/>
              </w:rPr>
              <w:t xml:space="preserve"> Chart Madeira Cavalete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  <w:t xml:space="preserve">Suporte confeccionado em madeira resistente, formato cavalete, estável e dobrável, indicado para fixação e uso de blocos de papel tipo </w:t>
            </w:r>
            <w:proofErr w:type="spellStart"/>
            <w:r w:rsidRPr="001B76AA">
              <w:rPr>
                <w:rFonts w:eastAsia="Times New Roman"/>
                <w:sz w:val="20"/>
                <w:szCs w:val="20"/>
                <w:lang w:val="pt-BR"/>
              </w:rPr>
              <w:t>flip</w:t>
            </w:r>
            <w:proofErr w:type="spellEnd"/>
            <w:r w:rsidRPr="001B76AA">
              <w:rPr>
                <w:rFonts w:eastAsia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B76AA">
              <w:rPr>
                <w:rFonts w:eastAsia="Times New Roman"/>
                <w:sz w:val="20"/>
                <w:szCs w:val="20"/>
                <w:lang w:val="pt-BR"/>
              </w:rPr>
              <w:t>chart</w:t>
            </w:r>
            <w:proofErr w:type="spellEnd"/>
            <w:r w:rsidRPr="001B76AA">
              <w:rPr>
                <w:rFonts w:eastAsia="Times New Roman"/>
                <w:sz w:val="20"/>
                <w:szCs w:val="20"/>
                <w:lang w:val="pt-BR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32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Lápis preto nº 2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lastRenderedPageBreak/>
              <w:t>Lápis preto tipo HB nº 2, confeccionado em madeira com carga de grafite, formato sextavado, indicado para escrita, desenho e uso escolar, administrativo e institucional.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lastRenderedPageBreak/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100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lastRenderedPageBreak/>
              <w:t>33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Papel sulfite A4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  <w:t>Papel formato A4, medindo aprox. 210 x 297 mm, confeccionado em papel sulfite branco, com gramatura 75 g/m², indicado para impressão, escrita e reprodução de documentos em equipamentos compatíveis, em resma com 500 folhas.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4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34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Pincel marcador permanente azul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  <w:t>Pincel marcador tipo atômico com corpo em material plástico e ponta de feltro em formato chanfrado com tinta na cor azul à base de álcool de secagem rápida e resistente à água.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16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1B76AA" w:rsidRPr="001B76AA" w:rsidTr="001B76AA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35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eastAsia="Times New Roman"/>
                <w:sz w:val="20"/>
                <w:szCs w:val="20"/>
                <w:lang w:val="pt-BR"/>
              </w:rPr>
            </w:pPr>
            <w:r w:rsidRPr="001B76AA">
              <w:rPr>
                <w:rFonts w:eastAsia="Times New Roman"/>
                <w:sz w:val="20"/>
                <w:szCs w:val="20"/>
                <w:lang w:val="pt-BR"/>
              </w:rPr>
              <w:t>Pincel marcador permanente preto</w:t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</w:r>
            <w:r w:rsidRPr="001B76AA">
              <w:rPr>
                <w:rFonts w:eastAsia="Times New Roman"/>
                <w:sz w:val="20"/>
                <w:szCs w:val="20"/>
                <w:lang w:val="pt-BR"/>
              </w:rPr>
              <w:br/>
              <w:t>Pincel marcador tipo atômico com corpo em material plástico e ponta de feltro em formato chanfrado com tinta na cor preta à base de álcool de secagem rápida e resistente à água.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N/A</w:t>
            </w:r>
          </w:p>
        </w:tc>
        <w:tc>
          <w:tcPr>
            <w:tcW w:w="10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  <w:r w:rsidRPr="001B76AA">
              <w:rPr>
                <w:rFonts w:ascii="Calibri" w:eastAsia="Times New Roman" w:hAnsi="Calibri" w:cs="Calibri"/>
                <w:lang w:val="pt-BR"/>
              </w:rPr>
              <w:t>30</w:t>
            </w:r>
          </w:p>
        </w:tc>
        <w:tc>
          <w:tcPr>
            <w:tcW w:w="10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jc w:val="center"/>
              <w:rPr>
                <w:rFonts w:ascii="Calibri" w:eastAsia="Times New Roman" w:hAnsi="Calibri" w:cs="Calibri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B76AA" w:rsidRPr="001B76AA" w:rsidRDefault="001B76AA" w:rsidP="001B76AA">
            <w:pPr>
              <w:widowControl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:rsidR="0067687E" w:rsidRDefault="0067687E">
      <w:pPr>
        <w:widowControl/>
        <w:spacing w:line="276" w:lineRule="auto"/>
        <w:ind w:firstLine="0"/>
        <w:rPr>
          <w:rFonts w:ascii="Calibri" w:eastAsia="Calibri" w:hAnsi="Calibri" w:cs="Calibri"/>
          <w:sz w:val="24"/>
          <w:szCs w:val="24"/>
        </w:rPr>
      </w:pPr>
    </w:p>
    <w:p w:rsidR="0067687E" w:rsidRDefault="0067687E">
      <w:pPr>
        <w:widowControl/>
        <w:spacing w:line="276" w:lineRule="auto"/>
        <w:ind w:firstLine="0"/>
        <w:rPr>
          <w:rFonts w:ascii="Calibri" w:eastAsia="Calibri" w:hAnsi="Calibri" w:cs="Calibri"/>
          <w:sz w:val="24"/>
          <w:szCs w:val="24"/>
        </w:rPr>
      </w:pPr>
      <w:bookmarkStart w:id="6" w:name="_6vcsf0g4ax8o" w:colFirst="0" w:colLast="0"/>
      <w:bookmarkEnd w:id="6"/>
    </w:p>
    <w:p w:rsidR="0067687E" w:rsidRDefault="0067687E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67687E" w:rsidRDefault="001B76AA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Pagamento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até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15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ÚTEIS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após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entrega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dos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itens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Nota Fiscal,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mediante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atesto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área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demandante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67687E" w:rsidRDefault="001B76AA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ENTREGA</w:t>
      </w:r>
    </w:p>
    <w:p w:rsidR="0067687E" w:rsidRDefault="001B76AA">
      <w:pPr>
        <w:spacing w:before="240" w:after="240" w:line="276" w:lineRule="auto"/>
        <w:ind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DATA DE ENTREGA: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Conforme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evento</w:t>
      </w:r>
      <w:proofErr w:type="spellEnd"/>
    </w:p>
    <w:p w:rsidR="0067687E" w:rsidRDefault="001B76AA">
      <w:pPr>
        <w:spacing w:before="240" w:after="240" w:line="276" w:lineRule="auto"/>
        <w:ind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CIDADE DE ENTREGA:</w:t>
      </w:r>
      <w:r>
        <w:rPr>
          <w:rFonts w:ascii="Calibri" w:eastAsia="Calibri" w:hAnsi="Calibri" w:cs="Calibri"/>
          <w:sz w:val="24"/>
          <w:szCs w:val="24"/>
        </w:rPr>
        <w:t xml:space="preserve"> Altamira/PA</w:t>
      </w:r>
    </w:p>
    <w:p w:rsidR="0067687E" w:rsidRDefault="001B76AA">
      <w:pPr>
        <w:spacing w:before="240" w:after="240" w:line="276" w:lineRule="auto"/>
        <w:ind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ENDEREÇO DE ENTREGA: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DSEI Altamira, </w:t>
      </w:r>
      <w:proofErr w:type="spellStart"/>
      <w:r>
        <w:rPr>
          <w:rFonts w:ascii="Calibri" w:eastAsia="Calibri" w:hAnsi="Calibri" w:cs="Calibri"/>
          <w:sz w:val="24"/>
          <w:szCs w:val="24"/>
        </w:rPr>
        <w:t>Avenida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João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Rodrigues, nº 1.183, </w:t>
      </w:r>
      <w:proofErr w:type="spellStart"/>
      <w:r>
        <w:rPr>
          <w:rFonts w:ascii="Calibri" w:eastAsia="Calibri" w:hAnsi="Calibri" w:cs="Calibri"/>
          <w:sz w:val="24"/>
          <w:szCs w:val="24"/>
        </w:rPr>
        <w:t>Bairro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Uirapuru</w:t>
      </w:r>
      <w:proofErr w:type="spellEnd"/>
      <w:r>
        <w:rPr>
          <w:rFonts w:ascii="Calibri" w:eastAsia="Calibri" w:hAnsi="Calibri" w:cs="Calibri"/>
          <w:sz w:val="24"/>
          <w:szCs w:val="24"/>
        </w:rPr>
        <w:t>, CEP 68.372-572, Altamira/PA</w:t>
      </w:r>
    </w:p>
    <w:p w:rsidR="0067687E" w:rsidRDefault="0067687E">
      <w:pPr>
        <w:spacing w:before="240" w:after="240" w:line="276" w:lineRule="auto"/>
        <w:ind w:firstLine="0"/>
        <w:rPr>
          <w:rFonts w:ascii="Calibri" w:eastAsia="Calibri" w:hAnsi="Calibri" w:cs="Calibri"/>
          <w:b/>
          <w:bCs/>
          <w:sz w:val="24"/>
          <w:szCs w:val="24"/>
        </w:rPr>
      </w:pPr>
    </w:p>
    <w:p w:rsidR="0067687E" w:rsidRDefault="001B76AA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OBSERVAÇÕES:</w:t>
      </w:r>
    </w:p>
    <w:p w:rsidR="0067687E" w:rsidRDefault="001B76AA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z w:val="24"/>
          <w:szCs w:val="24"/>
        </w:rPr>
        <w:t>validade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é de 30 (</w:t>
      </w:r>
      <w:proofErr w:type="spellStart"/>
      <w:r>
        <w:rPr>
          <w:rFonts w:ascii="Calibri" w:eastAsia="Calibri" w:hAnsi="Calibri" w:cs="Calibri"/>
          <w:sz w:val="24"/>
          <w:szCs w:val="24"/>
        </w:rPr>
        <w:t>trinta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dias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contados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sz w:val="24"/>
          <w:szCs w:val="24"/>
        </w:rPr>
        <w:t>partir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data de </w:t>
      </w:r>
      <w:proofErr w:type="spellStart"/>
      <w:r>
        <w:rPr>
          <w:rFonts w:ascii="Calibri" w:eastAsia="Calibri" w:hAnsi="Calibri" w:cs="Calibri"/>
          <w:sz w:val="24"/>
          <w:szCs w:val="24"/>
        </w:rPr>
        <w:t>emissão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67687E" w:rsidRDefault="001B76AA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Nos </w:t>
      </w:r>
      <w:proofErr w:type="spellStart"/>
      <w:r>
        <w:rPr>
          <w:rFonts w:ascii="Calibri" w:eastAsia="Calibri" w:hAnsi="Calibri" w:cs="Calibri"/>
          <w:sz w:val="24"/>
          <w:szCs w:val="24"/>
        </w:rPr>
        <w:t>valores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constantes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estão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compreendidos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todas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despesas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que </w:t>
      </w:r>
      <w:proofErr w:type="spellStart"/>
      <w:r>
        <w:rPr>
          <w:rFonts w:ascii="Calibri" w:eastAsia="Calibri" w:hAnsi="Calibri" w:cs="Calibri"/>
          <w:sz w:val="24"/>
          <w:szCs w:val="24"/>
        </w:rPr>
        <w:t>direta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indiretamente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decorram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sz w:val="24"/>
          <w:szCs w:val="24"/>
        </w:rPr>
        <w:t>execução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 </w:t>
      </w:r>
      <w:proofErr w:type="spellStart"/>
      <w:r>
        <w:rPr>
          <w:rFonts w:ascii="Calibri" w:eastAsia="Calibri" w:hAnsi="Calibri" w:cs="Calibri"/>
          <w:sz w:val="24"/>
          <w:szCs w:val="24"/>
        </w:rPr>
        <w:t>objeto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licitado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forma </w:t>
      </w:r>
      <w:proofErr w:type="spellStart"/>
      <w:r>
        <w:rPr>
          <w:rFonts w:ascii="Calibri" w:eastAsia="Calibri" w:hAnsi="Calibri" w:cs="Calibri"/>
          <w:sz w:val="24"/>
          <w:szCs w:val="24"/>
        </w:rPr>
        <w:t>prevista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Edital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sz w:val="24"/>
          <w:szCs w:val="24"/>
        </w:rPr>
        <w:t>seus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anexos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cabendo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reclamação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posterior. </w:t>
      </w:r>
    </w:p>
    <w:p w:rsidR="0067687E" w:rsidRDefault="001B76AA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DECLARAMOS QUE</w:t>
      </w:r>
      <w:r>
        <w:rPr>
          <w:rFonts w:ascii="Calibri" w:eastAsia="Calibri" w:hAnsi="Calibri" w:cs="Calibri"/>
          <w:sz w:val="24"/>
          <w:szCs w:val="24"/>
        </w:rPr>
        <w:t xml:space="preserve">: Sob </w:t>
      </w:r>
      <w:proofErr w:type="spellStart"/>
      <w:r>
        <w:rPr>
          <w:rFonts w:ascii="Calibri" w:eastAsia="Calibri" w:hAnsi="Calibri" w:cs="Calibri"/>
          <w:sz w:val="24"/>
          <w:szCs w:val="24"/>
        </w:rPr>
        <w:t>nenhuma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hipótese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cobranças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adicionais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sob </w:t>
      </w:r>
      <w:proofErr w:type="spellStart"/>
      <w:r>
        <w:rPr>
          <w:rFonts w:ascii="Calibri" w:eastAsia="Calibri" w:hAnsi="Calibri" w:cs="Calibri"/>
          <w:sz w:val="24"/>
          <w:szCs w:val="24"/>
        </w:rPr>
        <w:t>quaisquer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outras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denominações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67687E" w:rsidRDefault="001B76AA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proposta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comercial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apresentada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identidade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visual da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empresa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datada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assinada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pelo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67687E" w:rsidRDefault="0067687E">
      <w:pPr>
        <w:tabs>
          <w:tab w:val="left" w:pos="817"/>
        </w:tabs>
        <w:spacing w:line="276" w:lineRule="auto"/>
        <w:ind w:right="243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67687E" w:rsidRDefault="001B76AA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Brasília/DF,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da </w:t>
      </w:r>
      <w:proofErr w:type="spellStart"/>
      <w:r>
        <w:rPr>
          <w:rFonts w:ascii="Calibri" w:eastAsia="Calibri" w:hAnsi="Calibri" w:cs="Calibri"/>
          <w:sz w:val="24"/>
          <w:szCs w:val="24"/>
        </w:rPr>
        <w:t>assinatura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eletrônica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67687E" w:rsidRDefault="0067687E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67687E" w:rsidRDefault="001B76AA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legal</w:t>
      </w:r>
    </w:p>
    <w:p w:rsidR="0067687E" w:rsidRDefault="001B76AA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CPF</w:t>
      </w:r>
    </w:p>
    <w:p w:rsidR="0067687E" w:rsidRDefault="0067687E"/>
    <w:sectPr w:rsidR="0067687E">
      <w:pgSz w:w="11906" w:h="16838"/>
      <w:pgMar w:top="1985" w:right="1134" w:bottom="214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3D98B99-C428-4754-8B54-E803FF7D5F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EAC3D27-C4C6-416D-B481-0CDB7720AAEB}"/>
    <w:embedBold r:id="rId3" w:fontKey="{82825BFB-ACB7-4EEA-A7A3-6627A20872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BD1E688-353E-4DE0-B841-51EBCC9032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7E"/>
    <w:rsid w:val="001B76AA"/>
    <w:rsid w:val="00603034"/>
    <w:rsid w:val="0067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E00B"/>
  <w15:docId w15:val="{E0E975BD-6876-4AA8-ACB0-FC207061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ind w:left="513" w:firstLine="0"/>
      <w:outlineLvl w:val="0"/>
    </w:pPr>
    <w:rPr>
      <w:b/>
      <w:bCs/>
      <w:color w:val="000000"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80" w:after="120"/>
      <w:ind w:left="1435" w:right="1219" w:firstLine="0"/>
      <w:jc w:val="center"/>
    </w:pPr>
    <w:rPr>
      <w:b/>
      <w:bCs/>
      <w:color w:val="000000"/>
      <w:sz w:val="64"/>
      <w:szCs w:val="64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1F1C6-272D-4954-96FD-D39E759D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670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Lorena Vieira de Sousa</cp:lastModifiedBy>
  <cp:revision>3</cp:revision>
  <dcterms:created xsi:type="dcterms:W3CDTF">2026-06-24T14:43:00Z</dcterms:created>
  <dcterms:modified xsi:type="dcterms:W3CDTF">2026-07-06T20:10:00Z</dcterms:modified>
</cp:coreProperties>
</file>