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531/2026 -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(AGSUS.009427/2026-11)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o evento Atenção Integral às Doenças Prevalentes na Infância - AIDPI Criança, entre os dias 10 a 14/08, em Cruzeiro do Sul/AC.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4"/>
        <w:gridCol w:w="5422"/>
        <w:gridCol w:w="709"/>
        <w:gridCol w:w="567"/>
        <w:gridCol w:w="1134"/>
        <w:gridCol w:w="1281"/>
        <w:tblGridChange w:id="0">
          <w:tblGrid>
            <w:gridCol w:w="524"/>
            <w:gridCol w:w="5422"/>
            <w:gridCol w:w="709"/>
            <w:gridCol w:w="567"/>
            <w:gridCol w:w="1134"/>
            <w:gridCol w:w="1281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uh1by1tw3i5q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V.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V.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ff4fc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LOTE 1 - MATERIAL GRÁFICO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Bloco de anotação - Bloco de Anotações, com pauta tamanho: 10x15, papel: Offset 75 g/m², acabamento: wire-o branco, capa personalizada, laminação: com brilho, folhas: 100 A arte gráfica solicitada deverá observar integralmente as disposições da legislação eleitoral vigente, em especial as normas relativas ao período de defeso eleitoral, conforme estabelecido pela Justiça Eleitoral.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Banner personalizado - Banner confeccionado em lona vinílica brilhosa, 0,80×1,20 m, impressão colorida frente única, incluso abo de madeira, ponteiras e ilhoses. Acabamento brilhoso, impermeável e adequado para uso interno e externo A arte gráfica solicitada deverá observar integralmente as disposições da legislação eleitoral vigente, em especial as normas relativas ao período de defeso eleitoral, conforme estabelecido pela Justiça Eleitoral.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Apostila Manual AIDPI encadernada - Apostila encadernada – Manual AIDPI, colorido (244 páginas – frente e verso A5 4x4). A arte gráfica solicitada deverá observar integralmente as disposições da legislação eleitoral vigente, em especial as normas relativas ao período de defeso eleitoral, conforme estabelecido pela Justiça Eleitoral.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Certificados - Certificados com impressão frente e verso, impressos em papel couchê 190 g/m², formato A4 (210×297 mm A arte gráfica solicitada deverá observar integralmente as disposições da legislação eleitoral vigente, em especial as normas relativas ao período de defeso eleitoral, conforme estabelecido pela Justiça Eleitoral.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Apostila encadernada - Apostila encadernada – caderno do participante, colorido (89 páginas – frente e verso A5 4x4). A arte gráfica solicitada deverá observar integralmente as disposições da legislação eleitoral vigente, em especial as normas relativas ao período de defeso eleitoral, conforme estabelecido pela Justiça Eleitoral.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41905" cy="72961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41905" cy="72961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1905" cy="72961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yfFhzsfg//IQElNHuTZu96uXw==">CgMxLjAyCWguMzBqMHpsbDIOaC51aDFieTF0dzNpNXE4AHIhMXZqZ1pZdmhPT1c3eTQ0MldHYmhZQXRoWVlSdUFqRlRl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