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528/2026 -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(AGSUS.012482/2026-98)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o Evento 1: Curso sobre Antropometria do DSEI Vale do Javari, entre os dias 15 a 16/09, em Atalaia do Norte/AM.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"/>
        <w:gridCol w:w="4875"/>
        <w:gridCol w:w="1245"/>
        <w:gridCol w:w="570"/>
        <w:gridCol w:w="1140"/>
        <w:gridCol w:w="1275"/>
        <w:tblGridChange w:id="0">
          <w:tblGrid>
            <w:gridCol w:w="525"/>
            <w:gridCol w:w="4875"/>
            <w:gridCol w:w="1245"/>
            <w:gridCol w:w="570"/>
            <w:gridCol w:w="1140"/>
            <w:gridCol w:w="12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x8bl0d71fa39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V.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6e2f5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Evento 1 (20 participantes)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ff4fc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LOTE  - material 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Banner . Banner em lona medindo 1,20 m x 0,90 m - Desnutrição.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Certificado . Certificado A4 em policromia, tamanho 210 mm x 297 mm.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Impressão . Impressão do Guia Alimentar de bolso, com 9 páginas e encadernação.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Impressão . Impressão colorida do Instrutivo sobre cuidado de crianças com desnutrição na Atenção Primária á Saúde, com 55 páginas e encadernação.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Impressão . Impressão do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Folheto Desnutrição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Impressão . Impressão do Guia Alimentar para a população brasileira, com 158 páginas e encadernação.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41905" cy="72961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41905" cy="72961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1905" cy="72961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k8yVGufZGuXM+IKwdUL56RGbg==">CgMxLjAyCWguMzBqMHpsbDIOaC54OGJsMGQ3MWZhMzk4AHIhMVZBYTF5NTJBSF9hTGVoeHQxU1ZRRTEwd3hMZjdadFBS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