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71/2026 - CONTRATAÇÃO DIRETA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AGSUS.002693/2026-12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Aquisição de utensílios diversos, destinados ao apoio das atividades administrativas, operacionais e de uso coletivo das representações distritais e regionais da Agência Brasileira de Apoio à Gestão do Sistema Único de Saúde – AgSUS, a serem entregues na região distrital de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João Pessoa/PB: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 Rua Antônio Régis de Brito, nº 15, Bairro Pedro Gondim, João Pessoa/PB, CEP 58031-106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before="200" w:line="360" w:lineRule="auto"/>
        <w:ind w:left="0" w:right="450" w:firstLine="0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critério de julgamento será o de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MENOR PREÇO global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(somatório dos produtos)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tabela a seguir apresenta a relação detalhada dos itens e suas especificações técnicas: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2100"/>
        <w:gridCol w:w="4005"/>
        <w:gridCol w:w="900"/>
        <w:tblGridChange w:id="0">
          <w:tblGrid>
            <w:gridCol w:w="2040"/>
            <w:gridCol w:w="2100"/>
            <w:gridCol w:w="4005"/>
            <w:gridCol w:w="9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GRUPO 1 - MOBILIÁRIO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Armário 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ARM-ALT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Armário Baixo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ARM-BX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Estante de Aço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ORG-EST-ACO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1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246.5625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2100"/>
        <w:gridCol w:w="4005"/>
        <w:gridCol w:w="900"/>
        <w:tblGridChange w:id="0">
          <w:tblGrid>
            <w:gridCol w:w="2040"/>
            <w:gridCol w:w="2100"/>
            <w:gridCol w:w="4005"/>
            <w:gridCol w:w="9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GRUPO 3 -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UTE-GAR-2P2L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7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UTE-JAR-1L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Copos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UTE-COP-330ML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Pratos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UTE-PRA-12P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Xícaras c/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UTE-XIC-90ML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Talheres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UTE-TAL-36P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Bandeja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UTE-BAN-INX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Organizadora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UTE-CX-20L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consta no anexo Caderno de Especificações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2340"/>
        <w:gridCol w:w="915"/>
        <w:gridCol w:w="1785"/>
        <w:gridCol w:w="1560"/>
        <w:tblGridChange w:id="0">
          <w:tblGrid>
            <w:gridCol w:w="2190"/>
            <w:gridCol w:w="2340"/>
            <w:gridCol w:w="915"/>
            <w:gridCol w:w="1785"/>
            <w:gridCol w:w="156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GRUPO 1 -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MOBILIÁRIO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Armário 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ARM-ALT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Armário Baixo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ARM-BX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Estante de Aço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ORG-EST-ACO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VALOR TOTAL MOBILIÁRIO INCLUINDO FRETE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0"/>
        <w:gridCol w:w="2340"/>
        <w:gridCol w:w="915"/>
        <w:gridCol w:w="1785"/>
        <w:gridCol w:w="1560"/>
        <w:tblGridChange w:id="0">
          <w:tblGrid>
            <w:gridCol w:w="2190"/>
            <w:gridCol w:w="2340"/>
            <w:gridCol w:w="915"/>
            <w:gridCol w:w="1785"/>
            <w:gridCol w:w="156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GRUPO 3 -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UTE-GAR-2P2L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UTE-JAR-1L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Copos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UTE-COP-330ML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Pratos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UTE-PRA-12P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Xícaras c/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UTE-XIC-90ML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Talheres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UTE-TAL-36P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Bandeja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UTE-BAN-INX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Organizadora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UTE-CX-20L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VALOR TOTAL UTENSÍLIOS INCLUINDO FRETE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VALOR GLOBAL DA PROPOSTA (SOMATÓRIO FRETE, MOBILIÁRIO E UTENSÍLIOS)</w:t>
            </w:r>
          </w:p>
        </w:tc>
        <w:tc>
          <w:tcPr>
            <w:tcBorders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AE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FUV2SgGRQSVzSus1Ziocg4HSw==">CgMxLjA4AHIhMUtONjU5YU9xSmN6V3ZxeVBNTmJYd19aVjAzMHBrTlRj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